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07D25E84" w:rsidR="00700CC7" w:rsidRPr="007D6E0D" w:rsidRDefault="00553C09"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FLORIDA</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352ED11F"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553C09">
        <w:rPr>
          <w:rFonts w:ascii="Arial" w:hAnsi="Arial" w:cs="Arial"/>
        </w:rPr>
        <w:t>Florida</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F7332C"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F7332C"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F7332C"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F7332C"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F7332C"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F7332C"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F7332C"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F7332C"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F7332C"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F7332C"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522FC11B"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8C3B44">
        <w:rPr>
          <w:rFonts w:ascii="Arial" w:hAnsi="Arial" w:cs="Arial"/>
          <w:spacing w:val="2"/>
        </w:rPr>
        <w:t>,</w:t>
      </w:r>
      <w:r w:rsidR="00A00F27" w:rsidRPr="007E0F49">
        <w:rPr>
          <w:rFonts w:ascii="Arial" w:hAnsi="Arial" w:cs="Arial"/>
          <w:spacing w:val="2"/>
        </w:rPr>
        <w:t xml:space="preserve"> and have </w:t>
      </w:r>
      <w:r w:rsidR="008C3B44">
        <w:rPr>
          <w:rFonts w:ascii="Arial" w:hAnsi="Arial" w:cs="Arial"/>
          <w:spacing w:val="2"/>
        </w:rPr>
        <w:t xml:space="preserve">it </w:t>
      </w:r>
      <w:bookmarkStart w:id="5" w:name="_GoBack"/>
      <w:bookmarkEnd w:id="5"/>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F7332C"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F7332C"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27F7794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AF1738">
        <w:rPr>
          <w:rFonts w:ascii="Arial" w:hAnsi="Arial" w:cs="Arial"/>
        </w:rPr>
        <w:t>Florida</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6E0D1ABB" w14:textId="77777777" w:rsidR="00537D27" w:rsidRPr="007D6E0D" w:rsidRDefault="00537D27" w:rsidP="00537D27">
      <w:pPr>
        <w:rPr>
          <w:rFonts w:ascii="Arial" w:hAnsi="Arial" w:cs="Arial"/>
          <w:b/>
          <w:bCs/>
          <w:spacing w:val="2"/>
        </w:rPr>
      </w:pPr>
    </w:p>
    <w:p w14:paraId="5D8FA3E6" w14:textId="77777777" w:rsidR="006F26F4" w:rsidRPr="009D3814"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2C7A0368" w:rsidR="009D3814" w:rsidRPr="009D3814" w:rsidRDefault="009D3814" w:rsidP="009D3814">
      <w:pPr>
        <w:rPr>
          <w:rFonts w:ascii="Arial" w:hAnsi="Arial" w:cs="Arial"/>
        </w:rPr>
        <w:sectPr w:rsidR="009D3814" w:rsidRPr="009D3814" w:rsidSect="00683A59">
          <w:footerReference w:type="default" r:id="rId7"/>
          <w:footerReference w:type="first" r:id="rId8"/>
          <w:pgSz w:w="12240" w:h="15840"/>
          <w:pgMar w:top="1440" w:right="1440" w:bottom="1440" w:left="1440" w:header="720" w:footer="720" w:gutter="0"/>
          <w:cols w:space="720"/>
          <w:docGrid w:linePitch="326"/>
        </w:sectPr>
      </w:pPr>
    </w:p>
    <w:p w14:paraId="24462F58" w14:textId="77777777" w:rsidR="00537D27" w:rsidRDefault="00537D27" w:rsidP="00537D27">
      <w:pPr>
        <w:pStyle w:val="ListParagraph"/>
        <w:numPr>
          <w:ilvl w:val="0"/>
          <w:numId w:val="5"/>
        </w:numPr>
        <w:ind w:left="900" w:hanging="900"/>
        <w:rPr>
          <w:rFonts w:ascii="Arial" w:hAnsi="Arial" w:cs="Arial"/>
          <w:spacing w:val="2"/>
        </w:rPr>
      </w:pPr>
      <w:r w:rsidRPr="009D3814">
        <w:rPr>
          <w:rFonts w:ascii="Arial" w:hAnsi="Arial" w:cs="Arial"/>
          <w:b/>
          <w:bCs/>
          <w:spacing w:val="2"/>
        </w:rPr>
        <w:lastRenderedPageBreak/>
        <w:t xml:space="preserve">PROPERTY TAX </w:t>
      </w:r>
      <w:r>
        <w:rPr>
          <w:rFonts w:ascii="Arial" w:hAnsi="Arial" w:cs="Arial"/>
          <w:b/>
          <w:bCs/>
          <w:spacing w:val="2"/>
        </w:rPr>
        <w:t>DISCLOSURE SUMMARY</w:t>
      </w:r>
      <w:r>
        <w:rPr>
          <w:rFonts w:ascii="Arial" w:hAnsi="Arial" w:cs="Arial"/>
          <w:spacing w:val="2"/>
        </w:rPr>
        <w:t>.</w:t>
      </w:r>
    </w:p>
    <w:p w14:paraId="3392F7A5" w14:textId="77777777" w:rsidR="00537D27" w:rsidRPr="00F332B7" w:rsidRDefault="00537D27" w:rsidP="00537D27">
      <w:pPr>
        <w:pStyle w:val="ListParagraph"/>
        <w:rPr>
          <w:rFonts w:ascii="Arial" w:hAnsi="Arial" w:cs="Arial"/>
          <w:spacing w:val="2"/>
        </w:rPr>
      </w:pPr>
    </w:p>
    <w:p w14:paraId="28334305" w14:textId="77777777" w:rsidR="00537D27" w:rsidRPr="00B364B6" w:rsidRDefault="00537D27" w:rsidP="00537D27">
      <w:pPr>
        <w:jc w:val="center"/>
        <w:rPr>
          <w:rFonts w:ascii="Arial" w:hAnsi="Arial" w:cs="Arial"/>
        </w:rPr>
      </w:pPr>
      <w:r w:rsidRPr="00B364B6">
        <w:rPr>
          <w:rFonts w:ascii="Arial" w:hAnsi="Arial" w:cs="Arial"/>
        </w:rPr>
        <w:t>PROPERTY TAX</w:t>
      </w:r>
    </w:p>
    <w:p w14:paraId="519ED4A2" w14:textId="77777777" w:rsidR="00537D27" w:rsidRPr="00B364B6" w:rsidRDefault="00537D27" w:rsidP="00537D27">
      <w:pPr>
        <w:jc w:val="center"/>
        <w:rPr>
          <w:rFonts w:ascii="Arial" w:hAnsi="Arial" w:cs="Arial"/>
        </w:rPr>
      </w:pPr>
      <w:r w:rsidRPr="00B364B6">
        <w:rPr>
          <w:rFonts w:ascii="Arial" w:hAnsi="Arial" w:cs="Arial"/>
        </w:rPr>
        <w:t>DISCLOSURE SUMMARY</w:t>
      </w:r>
    </w:p>
    <w:p w14:paraId="55501F12" w14:textId="77777777" w:rsidR="00537D27" w:rsidRPr="00B364B6" w:rsidRDefault="00537D27" w:rsidP="00537D27">
      <w:pPr>
        <w:rPr>
          <w:rFonts w:ascii="Arial" w:hAnsi="Arial" w:cs="Arial"/>
        </w:rPr>
      </w:pPr>
    </w:p>
    <w:p w14:paraId="7DC4D5AB" w14:textId="77777777" w:rsidR="00537D27" w:rsidRPr="00B364B6" w:rsidRDefault="00537D27" w:rsidP="00537D27">
      <w:pPr>
        <w:rPr>
          <w:rFonts w:ascii="Arial" w:hAnsi="Arial" w:cs="Arial"/>
        </w:rPr>
      </w:pPr>
      <w:r w:rsidRPr="00B364B6">
        <w:rPr>
          <w:rFonts w:ascii="Arial" w:hAnsi="Arial" w:cs="Arial"/>
        </w:rPr>
        <w:t>BUYER SHOULD NOT RELY ON THE SELLER’S CURRENT PROPERTY TAXES AS THE AMOUNT OF PROPERTY TAXES THAT THE BUYER MAY BE OBLIGATED TO PAY IN THE YEAR SUBSEQUENT TO PURCHASE. A CHANGE OF OWNERSHIP OR PROPERTY IMPROVEMENTS TRIGGERS REASSESSMENTS OF THE PROPERTY THAT COULD RESULT IN HIGHER PROPERTY TAXES. IF YOU HAVE ANY QUESTIONS CONCERNING VALUATION, CONTACT THE COUNTY PROPERTY APPRAISER’S OFFICE FOR INFORMATION.</w:t>
      </w:r>
    </w:p>
    <w:p w14:paraId="1921086E" w14:textId="77777777" w:rsidR="009D3814" w:rsidRDefault="009D3814" w:rsidP="009D3814">
      <w:pPr>
        <w:pStyle w:val="NormalWeb"/>
        <w:shd w:val="clear" w:color="auto" w:fill="FFFFFF"/>
        <w:spacing w:before="0" w:beforeAutospacing="0" w:after="0" w:afterAutospacing="0"/>
        <w:rPr>
          <w:rFonts w:ascii="Arial" w:hAnsi="Arial" w:cs="Arial"/>
          <w:color w:val="252525"/>
        </w:rPr>
      </w:pPr>
    </w:p>
    <w:p w14:paraId="15F25052" w14:textId="77777777" w:rsidR="00537D27" w:rsidRPr="008F4DB1" w:rsidRDefault="00537D27" w:rsidP="00537D27">
      <w:pPr>
        <w:pStyle w:val="ListParagraph"/>
        <w:numPr>
          <w:ilvl w:val="0"/>
          <w:numId w:val="5"/>
        </w:numPr>
        <w:ind w:left="900" w:hanging="900"/>
        <w:rPr>
          <w:rFonts w:ascii="Arial" w:hAnsi="Arial" w:cs="Arial"/>
        </w:rPr>
      </w:pPr>
      <w:r>
        <w:rPr>
          <w:rFonts w:ascii="Arial" w:hAnsi="Arial" w:cs="Arial"/>
          <w:b/>
          <w:spacing w:val="2"/>
        </w:rPr>
        <w:t>DISCLOSURES</w:t>
      </w:r>
      <w:r w:rsidRPr="008F4DB1">
        <w:rPr>
          <w:rFonts w:ascii="Arial" w:hAnsi="Arial" w:cs="Arial"/>
          <w:spacing w:val="2"/>
        </w:rPr>
        <w:t>. It is acknowledged by the Parties that: (check one)</w:t>
      </w:r>
    </w:p>
    <w:p w14:paraId="0C0005ED" w14:textId="77777777" w:rsidR="00537D27" w:rsidRPr="007D6E0D" w:rsidRDefault="00F7332C" w:rsidP="00537D27">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 There are no attached addendums or disclosures to this Agreement. </w:t>
      </w:r>
    </w:p>
    <w:p w14:paraId="77F0080C" w14:textId="088B3502" w:rsidR="00537D27" w:rsidRPr="007D6E0D" w:rsidRDefault="00F7332C" w:rsidP="00537D27">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 The following addendums or disclosures are attached to this Agreement:</w:t>
      </w:r>
      <w:r w:rsidR="00537D27">
        <w:rPr>
          <w:rFonts w:ascii="Arial" w:hAnsi="Arial" w:cs="Arial"/>
        </w:rPr>
        <w:t xml:space="preserve"> (check all that apply)</w:t>
      </w:r>
    </w:p>
    <w:p w14:paraId="4E71A1FB" w14:textId="77777777" w:rsidR="00537D27" w:rsidRPr="007D6E0D" w:rsidRDefault="00F7332C" w:rsidP="00537D27">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 Lead-Based Paint Disclosure Form </w:t>
      </w:r>
    </w:p>
    <w:p w14:paraId="785FEA21" w14:textId="77777777" w:rsidR="00537D27" w:rsidRPr="007D6E0D" w:rsidRDefault="00F7332C" w:rsidP="00537D27">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w:t>
      </w:r>
      <w:r w:rsidR="00537D27">
        <w:rPr>
          <w:rFonts w:ascii="Arial" w:hAnsi="Arial" w:cs="Arial"/>
        </w:rPr>
        <w:t xml:space="preserve"> Seller’s Property Disclosure Form</w:t>
      </w:r>
    </w:p>
    <w:p w14:paraId="12A5ECED" w14:textId="77777777" w:rsidR="00537D27" w:rsidRDefault="00F7332C" w:rsidP="00537D27">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w:t>
      </w:r>
      <w:r w:rsidR="00537D27">
        <w:rPr>
          <w:rFonts w:ascii="Arial" w:hAnsi="Arial" w:cs="Arial"/>
        </w:rPr>
        <w:t xml:space="preserve"> Coastal Properties Disclosure Statement</w:t>
      </w:r>
    </w:p>
    <w:p w14:paraId="027EFA2C" w14:textId="77777777" w:rsidR="00537D27" w:rsidRPr="007D6E0D" w:rsidRDefault="00F7332C" w:rsidP="00537D27">
      <w:pPr>
        <w:tabs>
          <w:tab w:val="left" w:pos="502"/>
          <w:tab w:val="right" w:leader="underscore" w:pos="10621"/>
        </w:tabs>
        <w:ind w:left="1942"/>
        <w:rPr>
          <w:rFonts w:ascii="Arial" w:hAnsi="Arial" w:cs="Arial"/>
        </w:rPr>
      </w:pPr>
      <w:sdt>
        <w:sdtPr>
          <w:rPr>
            <w:rFonts w:ascii="Arial" w:hAnsi="Arial" w:cs="Arial"/>
          </w:rPr>
          <w:id w:val="-127633564"/>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 </w:t>
      </w:r>
      <w:r w:rsidR="00537D27">
        <w:rPr>
          <w:rFonts w:ascii="Arial" w:hAnsi="Arial" w:cs="Arial"/>
        </w:rPr>
        <w:t>Condominium Disclosure Form</w:t>
      </w:r>
      <w:r w:rsidR="00537D27" w:rsidRPr="007D6E0D">
        <w:rPr>
          <w:rFonts w:ascii="Arial" w:hAnsi="Arial" w:cs="Arial"/>
        </w:rPr>
        <w:t xml:space="preserve"> </w:t>
      </w:r>
    </w:p>
    <w:p w14:paraId="5C5014B1" w14:textId="77777777" w:rsidR="00537D27" w:rsidRDefault="00F7332C" w:rsidP="00537D27">
      <w:pPr>
        <w:tabs>
          <w:tab w:val="left" w:pos="502"/>
          <w:tab w:val="right" w:leader="underscore" w:pos="10621"/>
        </w:tabs>
        <w:ind w:left="1942"/>
        <w:rPr>
          <w:rFonts w:ascii="Arial" w:hAnsi="Arial" w:cs="Arial"/>
        </w:rPr>
      </w:pPr>
      <w:sdt>
        <w:sdtPr>
          <w:rPr>
            <w:rFonts w:ascii="Arial" w:hAnsi="Arial" w:cs="Arial"/>
          </w:rPr>
          <w:id w:val="-1872984297"/>
          <w14:checkbox>
            <w14:checked w14:val="0"/>
            <w14:checkedState w14:val="2612" w14:font="MS Gothic"/>
            <w14:uncheckedState w14:val="2610" w14:font="MS Gothic"/>
          </w14:checkbox>
        </w:sdtPr>
        <w:sdtEndPr/>
        <w:sdtContent>
          <w:r w:rsidR="00537D27" w:rsidRPr="007D6E0D">
            <w:rPr>
              <w:rFonts w:ascii="Segoe UI Symbol" w:eastAsia="MS Gothic" w:hAnsi="Segoe UI Symbol" w:cs="Segoe UI Symbol"/>
            </w:rPr>
            <w:t>☐</w:t>
          </w:r>
        </w:sdtContent>
      </w:sdt>
      <w:r w:rsidR="00537D27" w:rsidRPr="007D6E0D">
        <w:rPr>
          <w:rFonts w:ascii="Arial" w:hAnsi="Arial" w:cs="Arial"/>
        </w:rPr>
        <w:t xml:space="preserve"> -</w:t>
      </w:r>
      <w:r w:rsidR="00537D27">
        <w:rPr>
          <w:rFonts w:ascii="Arial" w:hAnsi="Arial" w:cs="Arial"/>
        </w:rPr>
        <w:t xml:space="preserve"> Homeowner’s Association Disclosure Form</w:t>
      </w:r>
    </w:p>
    <w:p w14:paraId="3F630649" w14:textId="42C7265F" w:rsidR="00700CC7" w:rsidRDefault="00F7332C" w:rsidP="009D3814">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0CEF9108" w14:textId="77777777" w:rsidR="006E4F29" w:rsidRDefault="00F7332C" w:rsidP="006E4F29">
      <w:pPr>
        <w:tabs>
          <w:tab w:val="left" w:pos="502"/>
          <w:tab w:val="right" w:leader="underscore" w:pos="10621"/>
        </w:tabs>
        <w:ind w:left="1942"/>
        <w:rPr>
          <w:rFonts w:ascii="Arial" w:hAnsi="Arial" w:cs="Arial"/>
        </w:rPr>
      </w:pPr>
      <w:sdt>
        <w:sdtPr>
          <w:rPr>
            <w:rFonts w:ascii="Arial" w:hAnsi="Arial" w:cs="Arial"/>
          </w:rPr>
          <w:id w:val="-1858492391"/>
          <w14:checkbox>
            <w14:checked w14:val="0"/>
            <w14:checkedState w14:val="2612" w14:font="MS Gothic"/>
            <w14:uncheckedState w14:val="2610" w14:font="MS Gothic"/>
          </w14:checkbox>
        </w:sdtPr>
        <w:sdtEndPr/>
        <w:sdtContent>
          <w:r w:rsidR="006E4F29" w:rsidRPr="007D6E0D">
            <w:rPr>
              <w:rFonts w:ascii="Segoe UI Symbol" w:eastAsia="MS Gothic" w:hAnsi="Segoe UI Symbol" w:cs="Segoe UI Symbol"/>
            </w:rPr>
            <w:t>☐</w:t>
          </w:r>
        </w:sdtContent>
      </w:sdt>
      <w:r w:rsidR="006E4F29" w:rsidRPr="007D6E0D">
        <w:rPr>
          <w:rFonts w:ascii="Arial" w:hAnsi="Arial" w:cs="Arial"/>
        </w:rPr>
        <w:t xml:space="preserve"> - </w:t>
      </w:r>
      <w:r w:rsidR="006E4F29">
        <w:rPr>
          <w:rFonts w:ascii="Arial" w:hAnsi="Arial" w:cs="Arial"/>
        </w:rPr>
        <w:fldChar w:fldCharType="begin">
          <w:ffData>
            <w:name w:val=""/>
            <w:enabled/>
            <w:calcOnExit w:val="0"/>
            <w:textInput>
              <w:default w:val="[TITLE OF ADDENDUM/DISCLOSURE]"/>
            </w:textInput>
          </w:ffData>
        </w:fldChar>
      </w:r>
      <w:r w:rsidR="006E4F29">
        <w:rPr>
          <w:rFonts w:ascii="Arial" w:hAnsi="Arial" w:cs="Arial"/>
        </w:rPr>
        <w:instrText xml:space="preserve"> FORMTEXT </w:instrText>
      </w:r>
      <w:r w:rsidR="006E4F29">
        <w:rPr>
          <w:rFonts w:ascii="Arial" w:hAnsi="Arial" w:cs="Arial"/>
        </w:rPr>
      </w:r>
      <w:r w:rsidR="006E4F29">
        <w:rPr>
          <w:rFonts w:ascii="Arial" w:hAnsi="Arial" w:cs="Arial"/>
        </w:rPr>
        <w:fldChar w:fldCharType="separate"/>
      </w:r>
      <w:r w:rsidR="006E4F29">
        <w:rPr>
          <w:rFonts w:ascii="Arial" w:hAnsi="Arial" w:cs="Arial"/>
          <w:noProof/>
        </w:rPr>
        <w:t>[TITLE OF ADDENDUM/DISCLOSURE]</w:t>
      </w:r>
      <w:r w:rsidR="006E4F29">
        <w:rPr>
          <w:rFonts w:ascii="Arial" w:hAnsi="Arial" w:cs="Arial"/>
        </w:rPr>
        <w:fldChar w:fldCharType="end"/>
      </w:r>
    </w:p>
    <w:p w14:paraId="6D17E446" w14:textId="40B444C6" w:rsidR="006E4F29" w:rsidRDefault="00F7332C" w:rsidP="006E4F29">
      <w:pPr>
        <w:tabs>
          <w:tab w:val="left" w:pos="502"/>
          <w:tab w:val="right" w:leader="underscore" w:pos="10621"/>
        </w:tabs>
        <w:ind w:left="1942"/>
        <w:rPr>
          <w:rFonts w:ascii="Arial" w:hAnsi="Arial" w:cs="Arial"/>
        </w:rPr>
      </w:pPr>
      <w:sdt>
        <w:sdtPr>
          <w:rPr>
            <w:rFonts w:ascii="Arial" w:hAnsi="Arial" w:cs="Arial"/>
          </w:rPr>
          <w:id w:val="-1154063236"/>
          <w14:checkbox>
            <w14:checked w14:val="0"/>
            <w14:checkedState w14:val="2612" w14:font="MS Gothic"/>
            <w14:uncheckedState w14:val="2610" w14:font="MS Gothic"/>
          </w14:checkbox>
        </w:sdtPr>
        <w:sdtEndPr/>
        <w:sdtContent>
          <w:r w:rsidR="006E4F29" w:rsidRPr="007D6E0D">
            <w:rPr>
              <w:rFonts w:ascii="Segoe UI Symbol" w:eastAsia="MS Gothic" w:hAnsi="Segoe UI Symbol" w:cs="Segoe UI Symbol"/>
            </w:rPr>
            <w:t>☐</w:t>
          </w:r>
        </w:sdtContent>
      </w:sdt>
      <w:r w:rsidR="006E4F29" w:rsidRPr="007D6E0D">
        <w:rPr>
          <w:rFonts w:ascii="Arial" w:hAnsi="Arial" w:cs="Arial"/>
        </w:rPr>
        <w:t xml:space="preserve"> - </w:t>
      </w:r>
      <w:r w:rsidR="006E4F29">
        <w:rPr>
          <w:rFonts w:ascii="Arial" w:hAnsi="Arial" w:cs="Arial"/>
        </w:rPr>
        <w:fldChar w:fldCharType="begin">
          <w:ffData>
            <w:name w:val=""/>
            <w:enabled/>
            <w:calcOnExit w:val="0"/>
            <w:textInput>
              <w:default w:val="[TITLE OF ADDENDUM/DISCLOSURE]"/>
            </w:textInput>
          </w:ffData>
        </w:fldChar>
      </w:r>
      <w:r w:rsidR="006E4F29">
        <w:rPr>
          <w:rFonts w:ascii="Arial" w:hAnsi="Arial" w:cs="Arial"/>
        </w:rPr>
        <w:instrText xml:space="preserve"> FORMTEXT </w:instrText>
      </w:r>
      <w:r w:rsidR="006E4F29">
        <w:rPr>
          <w:rFonts w:ascii="Arial" w:hAnsi="Arial" w:cs="Arial"/>
        </w:rPr>
      </w:r>
      <w:r w:rsidR="006E4F29">
        <w:rPr>
          <w:rFonts w:ascii="Arial" w:hAnsi="Arial" w:cs="Arial"/>
        </w:rPr>
        <w:fldChar w:fldCharType="separate"/>
      </w:r>
      <w:r w:rsidR="006E4F29">
        <w:rPr>
          <w:rFonts w:ascii="Arial" w:hAnsi="Arial" w:cs="Arial"/>
          <w:noProof/>
        </w:rPr>
        <w:t>[TITLE OF ADDENDUM/DISCLOSURE]</w:t>
      </w:r>
      <w:r w:rsidR="006E4F29">
        <w:rPr>
          <w:rFonts w:ascii="Arial" w:hAnsi="Arial" w:cs="Arial"/>
        </w:rPr>
        <w:fldChar w:fldCharType="end"/>
      </w:r>
    </w:p>
    <w:p w14:paraId="6DBBCA3F" w14:textId="77777777" w:rsidR="008F4DB1" w:rsidRPr="007D6E0D" w:rsidRDefault="008F4DB1" w:rsidP="009D3814">
      <w:pPr>
        <w:tabs>
          <w:tab w:val="left" w:pos="502"/>
          <w:tab w:val="right" w:leader="underscore" w:pos="10621"/>
        </w:tabs>
        <w:rPr>
          <w:rFonts w:ascii="Arial" w:hAnsi="Arial" w:cs="Arial"/>
        </w:rPr>
      </w:pPr>
    </w:p>
    <w:p w14:paraId="202B1E6D" w14:textId="5139DED0" w:rsidR="008F4DB1" w:rsidRDefault="00A00F27" w:rsidP="009D3814">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FCCF0" w14:textId="77777777" w:rsidR="00F7332C" w:rsidRDefault="00F7332C">
      <w:r>
        <w:separator/>
      </w:r>
    </w:p>
  </w:endnote>
  <w:endnote w:type="continuationSeparator" w:id="0">
    <w:p w14:paraId="03F1A331" w14:textId="77777777" w:rsidR="00F7332C" w:rsidRDefault="00F7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864D1" w14:textId="77777777" w:rsidR="00F7332C" w:rsidRDefault="00F7332C">
      <w:r>
        <w:rPr>
          <w:color w:val="000000"/>
        </w:rPr>
        <w:separator/>
      </w:r>
    </w:p>
  </w:footnote>
  <w:footnote w:type="continuationSeparator" w:id="0">
    <w:p w14:paraId="15E7B232" w14:textId="77777777" w:rsidR="00F7332C" w:rsidRDefault="00F73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B0E69"/>
    <w:rsid w:val="000F6419"/>
    <w:rsid w:val="00105C20"/>
    <w:rsid w:val="00137A0E"/>
    <w:rsid w:val="00182374"/>
    <w:rsid w:val="001A01A2"/>
    <w:rsid w:val="001A3254"/>
    <w:rsid w:val="001B5D64"/>
    <w:rsid w:val="001C7E38"/>
    <w:rsid w:val="001D065D"/>
    <w:rsid w:val="001D7CCA"/>
    <w:rsid w:val="001F001C"/>
    <w:rsid w:val="001F6CCE"/>
    <w:rsid w:val="00211895"/>
    <w:rsid w:val="00214B8D"/>
    <w:rsid w:val="002656E1"/>
    <w:rsid w:val="00287B1D"/>
    <w:rsid w:val="002C4B18"/>
    <w:rsid w:val="002D23D9"/>
    <w:rsid w:val="003304AC"/>
    <w:rsid w:val="0033439B"/>
    <w:rsid w:val="00344595"/>
    <w:rsid w:val="00367BAA"/>
    <w:rsid w:val="00393F9E"/>
    <w:rsid w:val="00395545"/>
    <w:rsid w:val="00395754"/>
    <w:rsid w:val="003D6A29"/>
    <w:rsid w:val="003E12CD"/>
    <w:rsid w:val="003F625B"/>
    <w:rsid w:val="003F7E2C"/>
    <w:rsid w:val="0040094C"/>
    <w:rsid w:val="00450FC1"/>
    <w:rsid w:val="004C65FD"/>
    <w:rsid w:val="004D6288"/>
    <w:rsid w:val="004F0B84"/>
    <w:rsid w:val="00501EC3"/>
    <w:rsid w:val="0053038F"/>
    <w:rsid w:val="00531342"/>
    <w:rsid w:val="00537D27"/>
    <w:rsid w:val="00553C09"/>
    <w:rsid w:val="00566D7F"/>
    <w:rsid w:val="005A0663"/>
    <w:rsid w:val="005A3277"/>
    <w:rsid w:val="005C04D3"/>
    <w:rsid w:val="005D7373"/>
    <w:rsid w:val="0065320B"/>
    <w:rsid w:val="00674502"/>
    <w:rsid w:val="00680FBE"/>
    <w:rsid w:val="00682A1F"/>
    <w:rsid w:val="00683A59"/>
    <w:rsid w:val="00690FCD"/>
    <w:rsid w:val="006E4F29"/>
    <w:rsid w:val="006F26F4"/>
    <w:rsid w:val="00700CC7"/>
    <w:rsid w:val="00754AFC"/>
    <w:rsid w:val="007B26A0"/>
    <w:rsid w:val="007B6197"/>
    <w:rsid w:val="007D6E0D"/>
    <w:rsid w:val="007E0F49"/>
    <w:rsid w:val="008126EA"/>
    <w:rsid w:val="00823A92"/>
    <w:rsid w:val="008341F7"/>
    <w:rsid w:val="00860AFF"/>
    <w:rsid w:val="00877522"/>
    <w:rsid w:val="008B41B8"/>
    <w:rsid w:val="008C3B44"/>
    <w:rsid w:val="008D301E"/>
    <w:rsid w:val="008D3DCC"/>
    <w:rsid w:val="008F4DB1"/>
    <w:rsid w:val="00947280"/>
    <w:rsid w:val="009D3814"/>
    <w:rsid w:val="009D3939"/>
    <w:rsid w:val="009F43CE"/>
    <w:rsid w:val="009F7F8A"/>
    <w:rsid w:val="00A00F27"/>
    <w:rsid w:val="00A414BE"/>
    <w:rsid w:val="00A55DC5"/>
    <w:rsid w:val="00A728EF"/>
    <w:rsid w:val="00A745A1"/>
    <w:rsid w:val="00A92ABF"/>
    <w:rsid w:val="00A92CF7"/>
    <w:rsid w:val="00AA17C2"/>
    <w:rsid w:val="00AA7AE7"/>
    <w:rsid w:val="00AD477E"/>
    <w:rsid w:val="00AF1738"/>
    <w:rsid w:val="00AF74C7"/>
    <w:rsid w:val="00B04BCC"/>
    <w:rsid w:val="00B2487F"/>
    <w:rsid w:val="00B649F4"/>
    <w:rsid w:val="00B73C8A"/>
    <w:rsid w:val="00B81C60"/>
    <w:rsid w:val="00B82F3F"/>
    <w:rsid w:val="00B9236A"/>
    <w:rsid w:val="00BF64EB"/>
    <w:rsid w:val="00C375DC"/>
    <w:rsid w:val="00C43AA3"/>
    <w:rsid w:val="00C87EDE"/>
    <w:rsid w:val="00CD594C"/>
    <w:rsid w:val="00CE501B"/>
    <w:rsid w:val="00D26FEF"/>
    <w:rsid w:val="00D32979"/>
    <w:rsid w:val="00D57DB3"/>
    <w:rsid w:val="00DC72D9"/>
    <w:rsid w:val="00DF1502"/>
    <w:rsid w:val="00E00C69"/>
    <w:rsid w:val="00E26F08"/>
    <w:rsid w:val="00E31B98"/>
    <w:rsid w:val="00E54831"/>
    <w:rsid w:val="00E75805"/>
    <w:rsid w:val="00EA5DA0"/>
    <w:rsid w:val="00ED5AD2"/>
    <w:rsid w:val="00EE609A"/>
    <w:rsid w:val="00EF15DF"/>
    <w:rsid w:val="00F60E48"/>
    <w:rsid w:val="00F64BD4"/>
    <w:rsid w:val="00F7332C"/>
    <w:rsid w:val="00FA25B7"/>
    <w:rsid w:val="00FA7C63"/>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3814"/>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856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California Residential Purchase Agreement</vt:lpstr>
    </vt:vector>
  </TitlesOfParts>
  <Manager/>
  <Company/>
  <LinksUpToDate>false</LinksUpToDate>
  <CharactersWithSpaces>23565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Residential Purchase Agreement</dc:title>
  <dc:subject>eForms</dc:subject>
  <dc:creator> </dc:creator>
  <cp:keywords> </cp:keywords>
  <dc:description> </dc:description>
  <cp:lastModifiedBy>Microsoft Office User</cp:lastModifiedBy>
  <cp:revision>3</cp:revision>
  <cp:lastPrinted>2010-02-10T05:40:00Z</cp:lastPrinted>
  <dcterms:created xsi:type="dcterms:W3CDTF">2022-05-22T22:54:00Z</dcterms:created>
  <dcterms:modified xsi:type="dcterms:W3CDTF">2023-09-20T20:04:00Z</dcterms:modified>
  <cp:category/>
</cp:coreProperties>
</file>